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0959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MINISTARSTVO ZNANOSTI, OBRAZOVANJA I SPORTA</w:t>
      </w:r>
    </w:p>
    <w:p w14:paraId="78C2449D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Na temelju članka 86. stavka 3. </w:t>
      </w:r>
      <w:hyperlink r:id="rId4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  <w:u w:val="none"/>
          </w:rPr>
          <w:t>Zakona o odgoju i obrazovanju u osnovnoj i srednjoj školi</w:t>
        </w:r>
      </w:hyperlink>
      <w:r>
        <w:rPr>
          <w:rFonts w:ascii="Arial" w:hAnsi="Arial" w:cs="Arial"/>
          <w:color w:val="414145"/>
          <w:sz w:val="21"/>
          <w:szCs w:val="21"/>
        </w:rPr>
        <w:t> (»Narodne novine«, broj 87/08., 86/09., 92/10., 105/10. – ispravak, 90/11., 16/12., 86/12., 94/13. i 152/14.), ministar znanosti, obrazovanja i sporta donosi</w:t>
      </w:r>
    </w:p>
    <w:p w14:paraId="4FCF3E75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 </w:t>
      </w:r>
    </w:p>
    <w:p w14:paraId="5C9BFF6B" w14:textId="77777777" w:rsidR="0001274A" w:rsidRDefault="0001274A" w:rsidP="0001274A">
      <w:pPr>
        <w:pStyle w:val="Naslov3"/>
        <w:spacing w:before="390" w:beforeAutospacing="0" w:after="90" w:afterAutospacing="0" w:line="403" w:lineRule="atLeast"/>
        <w:jc w:val="center"/>
        <w:rPr>
          <w:rFonts w:ascii="Arial" w:hAnsi="Arial" w:cs="Arial"/>
          <w:caps/>
          <w:color w:val="414145"/>
        </w:rPr>
      </w:pPr>
      <w:r>
        <w:rPr>
          <w:rFonts w:ascii="Arial" w:hAnsi="Arial" w:cs="Arial"/>
          <w:caps/>
          <w:color w:val="414145"/>
        </w:rPr>
        <w:t>PRAVILNIK O KRITERIJIMA ZA IZRICANJE PEDAGOŠKIH MJERA</w:t>
      </w:r>
    </w:p>
    <w:p w14:paraId="67A2A1CE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Pročišćeni tekst</w:t>
      </w:r>
    </w:p>
    <w:p w14:paraId="6526584A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NN </w:t>
      </w:r>
      <w:hyperlink r:id="rId5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  <w:u w:val="none"/>
          </w:rPr>
          <w:t>94/15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6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  <w:u w:val="none"/>
          </w:rPr>
          <w:t>03/17</w:t>
        </w:r>
      </w:hyperlink>
    </w:p>
    <w:p w14:paraId="0B1603C6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1.</w:t>
      </w:r>
    </w:p>
    <w:p w14:paraId="669B8431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Ovim pravilnikom propisuju se kriteriji za izricanje pedagoških mjera učenicima osnovnih i srednjih škola.</w:t>
      </w:r>
    </w:p>
    <w:p w14:paraId="772B2DA7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14:paraId="4E836869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Izricanje pedagoških mjera temelji se na principima postupnosti, proporcionalnosti, pravednosti i pravodobnosti.</w:t>
      </w:r>
    </w:p>
    <w:p w14:paraId="22497104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Pedagoške mjere izriču se zbog povrede dužnosti, neispunjavanja obveza, nasilničkog ponašanja i drugih neprimjerenih ponašanja (u daljnjem tekstu: neprihvatljiva ponašanja).</w:t>
      </w:r>
    </w:p>
    <w:p w14:paraId="76817D5E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(5) Pedagoške mjere za koje se utvrđuju kriteriji u:</w:t>
      </w:r>
    </w:p>
    <w:p w14:paraId="60B373F6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a) osnovnoj školi su: opomena, ukor, strogi ukor i preseljenje u drugu školu,</w:t>
      </w:r>
    </w:p>
    <w:p w14:paraId="5F748519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b) srednjoj školi su: opomena, ukor, opomena pred isključenje i isključenje iz srednje škole.</w:t>
      </w:r>
    </w:p>
    <w:p w14:paraId="1422FD08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(6) Pedagoške mjere izriču se prema težini neprihvatljivog ponašanja.</w:t>
      </w:r>
    </w:p>
    <w:p w14:paraId="1D51D36E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(7) Izrazi koji se koriste u ovome pravilniku, a koji imaju rodno značenje, bez obzira na to jesu li korišteni u muškome ili ženskome rodu obuhvaćaju na jednak način i muški i ženski rod.</w:t>
      </w:r>
    </w:p>
    <w:p w14:paraId="6728ED4A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2.</w:t>
      </w:r>
    </w:p>
    <w:p w14:paraId="282410EB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14:paraId="0AA9C378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14:paraId="2DBC79A2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3.</w:t>
      </w:r>
    </w:p>
    <w:p w14:paraId="329307AE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Neprihvatljiva ponašanja na temelju kojih se izriču pedagoške mjere iz članka 1. stavka 5. ovoga pravilnika podijeljena su ovisno o težini na: lakša, teža, teška i osobito teška.</w:t>
      </w:r>
    </w:p>
    <w:p w14:paraId="4D9A7128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Lakšim neprihvatljivim ponašanjima iz stavka 1. ovoga članka smatra se:</w:t>
      </w:r>
    </w:p>
    <w:p w14:paraId="38F3E84B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a) ometanje odgojno-obrazovnoga rada (npr. izazivanje nereda, stvaranje buke, pričanje nakon usmene opomene učitelja/nastavnika ili dovikivanje tijekom odgojno-obrazovnoga rada);</w:t>
      </w:r>
    </w:p>
    <w:p w14:paraId="00235A25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b) onečišćenje školskoga prostora i okoliša (npr. bacanje smeća izvan koševa za otpatke);</w:t>
      </w:r>
    </w:p>
    <w:p w14:paraId="6745E933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c) oštećivanje imovine u prostorima škole ili na drugome mjestu gdje se održava odgojno-obrazovni rad nanošenjem manje štete (npr. šaranje, urezivanje u namještaj);</w:t>
      </w:r>
    </w:p>
    <w:p w14:paraId="0010265F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d) nedopušteno korištenje informacijsko-komunikacijskih uređaja tijekom odgojno-obrazovnoga rada;</w:t>
      </w:r>
    </w:p>
    <w:p w14:paraId="069CA80A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e) pomaganje ili poticanje ulaska neovlaštenih osoba u školski prostor;</w:t>
      </w:r>
    </w:p>
    <w:p w14:paraId="42E72A7A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f) poticanje drugih učenika na neprihvatljiva ponašanja;</w:t>
      </w:r>
    </w:p>
    <w:p w14:paraId="39555D36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g) uznemiravanje učenika ili radnika škole odnosno druge aktivnosti koje izazivaju nelagodu u drugih osoba, nakon što je učenik na to upozoren;</w:t>
      </w:r>
    </w:p>
    <w:p w14:paraId="1AE5AE8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h) korištenje nedopuštenih izvora podataka u svrhu prepisivanja.</w:t>
      </w:r>
    </w:p>
    <w:p w14:paraId="7865E0B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Težim neprihvatljivim ponašanjima iz stavka 1. ovoga članka smatra se:</w:t>
      </w:r>
    </w:p>
    <w:p w14:paraId="776B8F1E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a) ometanje odgojno-obrazovnoga rada na način da je onemogućeno njegovo daljnje izvođenje;</w:t>
      </w:r>
    </w:p>
    <w:p w14:paraId="745E77CB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b) povreda dostojanstva druge osobe omalovažavanjem, vrijeđanjem ili širenjem neistina i glasina o drugome učeniku ili radniku škole;</w:t>
      </w:r>
    </w:p>
    <w:p w14:paraId="6726975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c) unošenje ili konzumiranje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psihoaktivnih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sredstava u prostor škole ili na drugo mjesto gdje se održava odgojno-obrazovni rad;</w:t>
      </w:r>
    </w:p>
    <w:p w14:paraId="4E89A4E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d) dovođenje ili pomaganje prilikom dolaska neovlaštenim osobama koje su nanijele štetu osobama ili imovini u prostoru škole ili na drugome mjestu gdje se održava odgojno-obrazovni rad;</w:t>
      </w:r>
    </w:p>
    <w:p w14:paraId="1188DF48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e) namjerno uništavanje imovine nanošenjem veće štete u prostoru škole ili na drugome mjestu gdje se održava odgojno-obrazovni rad;</w:t>
      </w:r>
    </w:p>
    <w:p w14:paraId="4AEA9610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f) prikrivanje nasilnih oblika ponašanja;</w:t>
      </w:r>
    </w:p>
    <w:p w14:paraId="248BB38A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g) udaranje, sudjelovanje u tučnjavi i druga ponašanja koja mogu ugroziti sigurnost samog učenika ili druge osobe, ali bez težih posljedica;</w:t>
      </w:r>
    </w:p>
    <w:p w14:paraId="1E7372CD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h) korištenje ili zlouporaba podataka drugog učenika iz pedagoške dokumentacije;</w:t>
      </w:r>
    </w:p>
    <w:p w14:paraId="4E07E8C1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i) klađenje ili kockanje u prostorima škole ili na drugome mjestu gdje se održava odgojno-obrazovni rad;</w:t>
      </w:r>
    </w:p>
    <w:p w14:paraId="20791C7E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j) prisvajanje tuđe stvari.</w:t>
      </w:r>
    </w:p>
    <w:p w14:paraId="6146C239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Teškim neprihvatljivim ponašanjima iz stavka 1. ovoga članka smatra se:</w:t>
      </w:r>
    </w:p>
    <w:p w14:paraId="7295E43D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14:paraId="7B61E8B3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b) nasilno ponašanje koje nije rezultiralo težim posljedicama;</w:t>
      </w:r>
    </w:p>
    <w:p w14:paraId="762914A2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c) krivotvorenje ispričnica ili ispitnih materijala;</w:t>
      </w:r>
    </w:p>
    <w:p w14:paraId="21098390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d) neovlašteno korištenje tuđih podataka za pristup elektroničkim bazama podataka škole bez njihove izmjene;</w:t>
      </w:r>
    </w:p>
    <w:p w14:paraId="0508F6C5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e) krađa tuđe stvari;</w:t>
      </w:r>
    </w:p>
    <w:p w14:paraId="43EF93A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f) poticanje grupnoga govora mržnje;</w:t>
      </w:r>
    </w:p>
    <w:p w14:paraId="5900F87D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g) uništavanje službene dokumentacije škole;</w:t>
      </w:r>
    </w:p>
    <w:p w14:paraId="1549A66F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h) prisila drugog učenika na neprihvatljivo ponašanje ili iznuda drugog učenika (npr. iznuđivanje novca);</w:t>
      </w:r>
    </w:p>
    <w:p w14:paraId="4582ADB1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i) unošenje oružja i opasnih predmeta u prostor škole ili drugdje gdje se održava odgojno-obrazovni rad.</w:t>
      </w:r>
    </w:p>
    <w:p w14:paraId="414E3013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(5) Osobito teškim neprihvatljivim ponašanjima iz stavka 1. ovoga članka smatra se:</w:t>
      </w:r>
    </w:p>
    <w:p w14:paraId="6F971B65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a) krivotvorenje pisane ili elektroničke službene dokumentacije škole;</w:t>
      </w:r>
    </w:p>
    <w:p w14:paraId="1302F15F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b) objavljivanje materijala elektroničkim ili drugim putem, a koji za posljedicu imaju povredu ugleda, časti i dostojanstva druge osobe;</w:t>
      </w:r>
    </w:p>
    <w:p w14:paraId="72F290C4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c) teška krađa odnosno krađa počinjena na opasan ili drzak način, obijanjem, provaljivanjem ili svladavanjem prepreka da se dođe do stvari;</w:t>
      </w:r>
    </w:p>
    <w:p w14:paraId="5EA8A570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d) ugrožavanje sigurnosti učenika ili radnika škole korištenjem oružja ili opasnih predmeta u prostoru škole ili na drugome mjestu gdje se održava odgojno-obrazovni rad;</w:t>
      </w:r>
    </w:p>
    <w:p w14:paraId="06DFABCF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e) nasilno ponašanje koje je rezultiralo teškim emocionalnim ili fizičkim posljedicama za drugu osobu.</w:t>
      </w:r>
    </w:p>
    <w:p w14:paraId="4DCEC9D0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4. (NN </w:t>
      </w:r>
      <w:hyperlink r:id="rId7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  <w:u w:val="none"/>
          </w:rPr>
          <w:t>03/17</w:t>
        </w:r>
      </w:hyperlink>
      <w:r>
        <w:rPr>
          <w:rFonts w:ascii="Arial" w:hAnsi="Arial" w:cs="Arial"/>
          <w:color w:val="414145"/>
          <w:sz w:val="21"/>
          <w:szCs w:val="21"/>
        </w:rPr>
        <w:t>)</w:t>
      </w:r>
    </w:p>
    <w:p w14:paraId="11211173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Pedagoška mjera izriče se i zbog neopravdanih izostanaka s nastave.</w:t>
      </w:r>
    </w:p>
    <w:p w14:paraId="3CA716EF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Izostanak s nastave, u slučaju pravodobnog zahtjeva roditelja, može odobriti:</w:t>
      </w:r>
    </w:p>
    <w:p w14:paraId="7127A477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– učitelj/nastavnik za izostanak tijekom nastavnoga dana,</w:t>
      </w:r>
    </w:p>
    <w:p w14:paraId="18DD5AAD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– razrednik za izostanak do tri (pojedinačna ili uzastopna) radna dana,</w:t>
      </w:r>
    </w:p>
    <w:p w14:paraId="7EEC529F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– ravnatelj za izostanak do sedam (uzastopnih) radnih dana,</w:t>
      </w:r>
    </w:p>
    <w:p w14:paraId="4B2A8B4E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– učiteljsko/nastavničko vijeće za izostanak do petnaest (uzastopnih) radnih dana.</w:t>
      </w:r>
    </w:p>
    <w:p w14:paraId="3A2F1EC1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Roditelj može, više puta godišnje, opravdati izostanak svoga djeteta u trajanju do tri radna dana, a za koje nije pravodobno podnesen zahtjev za odobrenjem sukladno stavku 2. ovoga članka.</w:t>
      </w:r>
    </w:p>
    <w:p w14:paraId="3CBBAFC6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Opravdanost izostanka s nastave zbog zdravstvenih razloga u trajanju duljem od tri radna dana uzastopno dokazuje se liječničkom potvrdom.</w:t>
      </w:r>
    </w:p>
    <w:p w14:paraId="07531AB8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14:paraId="1A34CBE1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(6) Neopravdanim izostankom smatra se izostanak koji nije odobren ili opravdan sukladno odredbama stavka 2., 3., 4. i 5. ovoga članka.</w:t>
      </w:r>
    </w:p>
    <w:p w14:paraId="767E31B4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(7) Načini opravdavanja izostanaka učenika i primjereni rok javljanja o razlogu izostanka uređuju se statutom škole.</w:t>
      </w:r>
    </w:p>
    <w:p w14:paraId="6245C4B8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5.</w:t>
      </w:r>
    </w:p>
    <w:p w14:paraId="2998AA46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14:paraId="60C91AB1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14:paraId="1E11DB49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Mjera se može izreći i bez izjašnjavanja učenika ako se učenik bez opravdanoga razloga ne odazove pozivu razrednika ili druge ovlaštene osobe.</w:t>
      </w:r>
    </w:p>
    <w:p w14:paraId="2E1630F9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Mjera se može izreći i bez informiranja roditelja, što je propisano stavkom 2. ovoga članka, ako se roditelj ne odazove ni pisanom pozivu na razgovor.</w:t>
      </w:r>
    </w:p>
    <w:p w14:paraId="246195CD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(5) Pedagoška mjera opomene i ukora mora se izreći najkasnije u roku od 15 dana od dana saznanja za neprihvatljivo ponašanje učenika zbog kojeg se izriče.</w:t>
      </w:r>
    </w:p>
    <w:p w14:paraId="4EBCAF0A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14:paraId="3793FD1B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14:paraId="4361D2EB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14:paraId="1AE5609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6.</w:t>
      </w:r>
    </w:p>
    <w:p w14:paraId="6CB7EEFA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14:paraId="6757D066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14:paraId="2EE2C255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14:paraId="4C45F239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7.</w:t>
      </w:r>
    </w:p>
    <w:p w14:paraId="326A4927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14:paraId="32852BD8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14:paraId="39EFCCAB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14:paraId="3F8B95B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14:paraId="68FC306D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8.</w:t>
      </w:r>
    </w:p>
    <w:p w14:paraId="2DDAAB5A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14:paraId="38EC68C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14:paraId="607D306D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14:paraId="3DB7A907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14:paraId="49DC4CCE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9.</w:t>
      </w:r>
    </w:p>
    <w:p w14:paraId="237B5DD1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Škole su dužne uskladiti odredbe statuta s odredbama ovoga pravilnika u roku od 60 dana od dana njegova stupanja na snagu.</w:t>
      </w:r>
    </w:p>
    <w:p w14:paraId="4ECAF2BE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10.</w:t>
      </w:r>
    </w:p>
    <w:p w14:paraId="5ACF385E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Ovaj pravilnik stupa na snagu osmoga dana od dana objave u »Narodnim novinama«.</w:t>
      </w:r>
    </w:p>
    <w:p w14:paraId="5AB243B7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Klasa: 602-02/15-06/00087</w:t>
      </w:r>
    </w:p>
    <w:p w14:paraId="03DCADF5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spellStart"/>
      <w:r>
        <w:rPr>
          <w:rFonts w:ascii="Arial" w:hAnsi="Arial" w:cs="Arial"/>
          <w:color w:val="414145"/>
          <w:sz w:val="21"/>
          <w:szCs w:val="21"/>
        </w:rPr>
        <w:t>Urbroj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>: 533-25-15-0008</w:t>
      </w:r>
    </w:p>
    <w:p w14:paraId="440A47C0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Zagreb, 31. kolovoza 2015.</w:t>
      </w:r>
    </w:p>
    <w:p w14:paraId="596F6FFC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Prijelazne i završne odredbe iz NN 03/17</w:t>
      </w:r>
    </w:p>
    <w:p w14:paraId="2327EB38" w14:textId="77777777" w:rsidR="0001274A" w:rsidRDefault="0001274A" w:rsidP="0001274A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Članak 2.</w:t>
      </w:r>
    </w:p>
    <w:p w14:paraId="4D77808F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Ovaj pravilnik stupa na snagu osmoga dana od dana objave u »Narodnim novinama«.</w:t>
      </w:r>
    </w:p>
    <w:p w14:paraId="7C8BD725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Klasa: 602-01/16-01/00635</w:t>
      </w:r>
    </w:p>
    <w:p w14:paraId="1BC9A78C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spellStart"/>
      <w:r>
        <w:rPr>
          <w:rFonts w:ascii="Arial" w:hAnsi="Arial" w:cs="Arial"/>
          <w:color w:val="414145"/>
          <w:sz w:val="21"/>
          <w:szCs w:val="21"/>
        </w:rPr>
        <w:t>Urbroj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>: 533-28-16-0001</w:t>
      </w:r>
    </w:p>
    <w:p w14:paraId="222D5823" w14:textId="77777777" w:rsidR="0001274A" w:rsidRDefault="0001274A" w:rsidP="0001274A">
      <w:pPr>
        <w:pStyle w:val="StandardWeb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Zagreb, 28. prosinca 2016.</w:t>
      </w:r>
    </w:p>
    <w:p w14:paraId="4BFAC936" w14:textId="77777777" w:rsidR="00FA7315" w:rsidRDefault="00FA7315">
      <w:bookmarkStart w:id="0" w:name="_GoBack"/>
      <w:bookmarkEnd w:id="0"/>
    </w:p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AF"/>
    <w:rsid w:val="0001274A"/>
    <w:rsid w:val="000552AF"/>
    <w:rsid w:val="008D65EE"/>
    <w:rsid w:val="009A6C13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FDD82-4B0A-403F-A68B-9737B1E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012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1274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1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12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18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8179" TargetMode="External"/><Relationship Id="rId5" Type="http://schemas.openxmlformats.org/officeDocument/2006/relationships/hyperlink" Target="https://www.zakon.hr/cms.htm?id=13405" TargetMode="External"/><Relationship Id="rId4" Type="http://schemas.openxmlformats.org/officeDocument/2006/relationships/hyperlink" Target="https://www.zakon.hr/z/317/Zakon-o-odgoju-i-obrazovanju-u-osnovnoj-i-srednjoj-%C5%A1kol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2025-01-14T06:37:00Z</dcterms:created>
  <dcterms:modified xsi:type="dcterms:W3CDTF">2025-01-14T06:37:00Z</dcterms:modified>
</cp:coreProperties>
</file>